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17" w:rsidRPr="00B822CE" w:rsidRDefault="00B54417" w:rsidP="00B5441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1482AC"/>
          <w:sz w:val="44"/>
          <w:szCs w:val="44"/>
        </w:rPr>
      </w:pPr>
      <w:bookmarkStart w:id="0" w:name="_GoBack"/>
      <w:bookmarkEnd w:id="0"/>
      <w:r w:rsidRPr="00B822CE">
        <w:rPr>
          <w:rFonts w:ascii="Calibri-Light" w:hAnsi="Calibri-Light" w:cs="Calibri-Light"/>
          <w:b/>
          <w:noProof/>
          <w:color w:val="1482AC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1226185" cy="11722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12" w:rsidRPr="00B822CE">
        <w:rPr>
          <w:rFonts w:ascii="Calibri-Light" w:hAnsi="Calibri-Light" w:cs="Calibri-Light"/>
          <w:b/>
          <w:color w:val="1482AC"/>
          <w:sz w:val="44"/>
          <w:szCs w:val="44"/>
        </w:rPr>
        <w:t>Mental Health Support Team</w:t>
      </w:r>
      <w:r w:rsidR="00B822CE" w:rsidRPr="00B822CE">
        <w:rPr>
          <w:rFonts w:ascii="Calibri-Light" w:hAnsi="Calibri-Light" w:cs="Calibri-Light"/>
          <w:b/>
          <w:color w:val="1482AC"/>
          <w:sz w:val="44"/>
          <w:szCs w:val="44"/>
        </w:rPr>
        <w:t>:</w:t>
      </w:r>
    </w:p>
    <w:p w:rsidR="00B822CE" w:rsidRPr="00B822CE" w:rsidRDefault="00B822CE" w:rsidP="00B5441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482AC"/>
          <w:sz w:val="44"/>
          <w:szCs w:val="44"/>
        </w:rPr>
      </w:pPr>
      <w:r w:rsidRPr="00B822CE">
        <w:rPr>
          <w:rFonts w:ascii="Calibri-Light" w:hAnsi="Calibri-Light" w:cs="Calibri-Light"/>
          <w:color w:val="1482AC"/>
          <w:sz w:val="44"/>
          <w:szCs w:val="44"/>
        </w:rPr>
        <w:t xml:space="preserve">Information and guidance about making a request for </w:t>
      </w:r>
      <w:r w:rsidR="00912C92">
        <w:rPr>
          <w:rFonts w:ascii="Calibri-Light" w:hAnsi="Calibri-Light" w:cs="Calibri-Light"/>
          <w:color w:val="1482AC"/>
          <w:sz w:val="44"/>
          <w:szCs w:val="44"/>
        </w:rPr>
        <w:t>support</w:t>
      </w:r>
    </w:p>
    <w:p w:rsidR="00B54417" w:rsidRDefault="00B54417" w:rsidP="00B544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54417" w:rsidRDefault="00B54417" w:rsidP="00B544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45ECD" w:rsidRDefault="00745ECD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</w:p>
    <w:p w:rsidR="00B822CE" w:rsidRDefault="00B822CE" w:rsidP="00B822C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After considering this guidance, i</w:t>
      </w:r>
      <w:r w:rsidRPr="00A67E93">
        <w:rPr>
          <w:rFonts w:ascii="Calibri-Bold" w:hAnsi="Calibri-Bold" w:cs="Calibri-Bold"/>
          <w:b/>
          <w:bCs/>
          <w:sz w:val="24"/>
          <w:szCs w:val="24"/>
        </w:rPr>
        <w:t xml:space="preserve">f you remain unclear about the suitability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of a child or young person for MHST please call us on 01392 386825 or email </w:t>
      </w:r>
      <w:hyperlink r:id="rId8" w:history="1">
        <w:r w:rsidRPr="00914533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cfhd.mhstadmin@nhs.net</w:t>
        </w:r>
      </w:hyperlink>
      <w:r>
        <w:rPr>
          <w:rFonts w:ascii="Calibri-Bold" w:hAnsi="Calibri-Bold" w:cs="Calibri-Bold"/>
          <w:b/>
          <w:bCs/>
          <w:sz w:val="24"/>
          <w:szCs w:val="24"/>
        </w:rPr>
        <w:t xml:space="preserve">  to speak to a member of the team.</w:t>
      </w:r>
    </w:p>
    <w:p w:rsidR="00B822CE" w:rsidRDefault="00B822CE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</w:p>
    <w:p w:rsidR="003D55FE" w:rsidRPr="00B822CE" w:rsidRDefault="00B822CE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B822CE">
        <w:rPr>
          <w:rFonts w:ascii="Calibri-Bold" w:hAnsi="Calibri-Bold" w:cs="Calibri-Bold"/>
          <w:bCs/>
          <w:sz w:val="24"/>
          <w:szCs w:val="24"/>
        </w:rPr>
        <w:t>Please note, t</w:t>
      </w:r>
      <w:r w:rsidR="003D55FE" w:rsidRPr="00B822CE">
        <w:rPr>
          <w:rFonts w:ascii="Calibri-Bold" w:hAnsi="Calibri-Bold" w:cs="Calibri-Bold"/>
          <w:bCs/>
          <w:sz w:val="24"/>
          <w:szCs w:val="24"/>
        </w:rPr>
        <w:t xml:space="preserve">he following abbreviations are used </w:t>
      </w:r>
      <w:r w:rsidRPr="00B822CE">
        <w:rPr>
          <w:rFonts w:ascii="Calibri-Bold" w:hAnsi="Calibri-Bold" w:cs="Calibri-Bold"/>
          <w:bCs/>
          <w:sz w:val="24"/>
          <w:szCs w:val="24"/>
        </w:rPr>
        <w:t>with</w:t>
      </w:r>
      <w:r w:rsidR="003D55FE" w:rsidRPr="00B822CE">
        <w:rPr>
          <w:rFonts w:ascii="Calibri-Bold" w:hAnsi="Calibri-Bold" w:cs="Calibri-Bold"/>
          <w:bCs/>
          <w:sz w:val="24"/>
          <w:szCs w:val="24"/>
        </w:rPr>
        <w:t>in this document:</w:t>
      </w:r>
    </w:p>
    <w:p w:rsidR="003D55FE" w:rsidRPr="003D55FE" w:rsidRDefault="003D55FE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3D55FE">
        <w:rPr>
          <w:rFonts w:ascii="Calibri-Bold" w:hAnsi="Calibri-Bold" w:cs="Calibri-Bold"/>
          <w:bCs/>
          <w:sz w:val="24"/>
          <w:szCs w:val="24"/>
        </w:rPr>
        <w:t>MHST –</w:t>
      </w:r>
      <w:r w:rsidR="00912C92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3D55FE">
        <w:rPr>
          <w:rFonts w:ascii="Calibri-Bold" w:hAnsi="Calibri-Bold" w:cs="Calibri-Bold"/>
          <w:bCs/>
          <w:sz w:val="24"/>
          <w:szCs w:val="24"/>
        </w:rPr>
        <w:t>Mental Health Support Team</w:t>
      </w:r>
    </w:p>
    <w:p w:rsidR="003D55FE" w:rsidRPr="003D55FE" w:rsidRDefault="003D55FE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3D55FE">
        <w:rPr>
          <w:rFonts w:ascii="Calibri-Bold" w:hAnsi="Calibri-Bold" w:cs="Calibri-Bold"/>
          <w:bCs/>
          <w:sz w:val="24"/>
          <w:szCs w:val="24"/>
        </w:rPr>
        <w:t>EMHP –</w:t>
      </w:r>
      <w:r w:rsidR="00912C92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3D55FE">
        <w:rPr>
          <w:rFonts w:ascii="Calibri-Bold" w:hAnsi="Calibri-Bold" w:cs="Calibri-Bold"/>
          <w:bCs/>
          <w:sz w:val="24"/>
          <w:szCs w:val="24"/>
        </w:rPr>
        <w:t>Education Mental Health Practitioner</w:t>
      </w:r>
    </w:p>
    <w:p w:rsidR="003D55FE" w:rsidRPr="003D55FE" w:rsidRDefault="003D55FE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3D55FE">
        <w:rPr>
          <w:rFonts w:ascii="Calibri-Bold" w:hAnsi="Calibri-Bold" w:cs="Calibri-Bold"/>
          <w:bCs/>
          <w:sz w:val="24"/>
          <w:szCs w:val="24"/>
        </w:rPr>
        <w:t>LI-CBT –</w:t>
      </w:r>
      <w:r w:rsidR="00912C92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3D55FE">
        <w:rPr>
          <w:rFonts w:ascii="Calibri-Bold" w:hAnsi="Calibri-Bold" w:cs="Calibri-Bold"/>
          <w:bCs/>
          <w:sz w:val="24"/>
          <w:szCs w:val="24"/>
        </w:rPr>
        <w:t>Low Intensity Cognitive Behaviour</w:t>
      </w:r>
      <w:r w:rsidR="00912C92">
        <w:rPr>
          <w:rFonts w:ascii="Calibri-Bold" w:hAnsi="Calibri-Bold" w:cs="Calibri-Bold"/>
          <w:bCs/>
          <w:sz w:val="24"/>
          <w:szCs w:val="24"/>
        </w:rPr>
        <w:t>al</w:t>
      </w:r>
      <w:r w:rsidRPr="003D55FE">
        <w:rPr>
          <w:rFonts w:ascii="Calibri-Bold" w:hAnsi="Calibri-Bold" w:cs="Calibri-Bold"/>
          <w:bCs/>
          <w:sz w:val="24"/>
          <w:szCs w:val="24"/>
        </w:rPr>
        <w:t xml:space="preserve"> Therapy</w:t>
      </w:r>
    </w:p>
    <w:p w:rsidR="003D55FE" w:rsidRPr="00B54417" w:rsidRDefault="003D55FE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33CCCC"/>
          <w:sz w:val="24"/>
          <w:szCs w:val="24"/>
        </w:rPr>
      </w:pP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  <w:r>
        <w:rPr>
          <w:rFonts w:ascii="Calibri-Bold" w:hAnsi="Calibri-Bold" w:cs="Calibri-Bold"/>
          <w:b/>
          <w:bCs/>
          <w:color w:val="0099CC"/>
          <w:sz w:val="24"/>
          <w:szCs w:val="24"/>
        </w:rPr>
        <w:t>Overview</w:t>
      </w: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99CC"/>
          <w:sz w:val="24"/>
          <w:szCs w:val="24"/>
        </w:rPr>
        <w:t>of</w:t>
      </w: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99CC"/>
          <w:sz w:val="24"/>
          <w:szCs w:val="24"/>
        </w:rPr>
        <w:t xml:space="preserve">our </w:t>
      </w: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>intervention</w:t>
      </w:r>
      <w:r>
        <w:rPr>
          <w:rFonts w:ascii="Calibri-Bold" w:hAnsi="Calibri-Bold" w:cs="Calibri-Bold"/>
          <w:b/>
          <w:bCs/>
          <w:color w:val="0099CC"/>
          <w:sz w:val="24"/>
          <w:szCs w:val="24"/>
        </w:rPr>
        <w:t>s and aims</w:t>
      </w: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>:</w:t>
      </w: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B54417">
        <w:rPr>
          <w:rFonts w:ascii="Calibri-Bold" w:hAnsi="Calibri-Bold" w:cs="Calibri-Bold"/>
          <w:bCs/>
          <w:sz w:val="24"/>
          <w:szCs w:val="24"/>
        </w:rPr>
        <w:t xml:space="preserve">A typical intervention </w:t>
      </w:r>
      <w:r>
        <w:rPr>
          <w:rFonts w:ascii="Calibri-Bold" w:hAnsi="Calibri-Bold" w:cs="Calibri-Bold"/>
          <w:bCs/>
          <w:sz w:val="24"/>
          <w:szCs w:val="24"/>
        </w:rPr>
        <w:t xml:space="preserve">from MHST will typically </w:t>
      </w:r>
      <w:r w:rsidRPr="00B54417">
        <w:rPr>
          <w:rFonts w:ascii="Calibri-Bold" w:hAnsi="Calibri-Bold" w:cs="Calibri-Bold"/>
          <w:bCs/>
          <w:sz w:val="24"/>
          <w:szCs w:val="24"/>
        </w:rPr>
        <w:t>involve</w:t>
      </w:r>
      <w:r>
        <w:rPr>
          <w:rFonts w:ascii="Calibri-Bold" w:hAnsi="Calibri-Bold" w:cs="Calibri-Bold"/>
          <w:bCs/>
          <w:sz w:val="24"/>
          <w:szCs w:val="24"/>
        </w:rPr>
        <w:t>:</w:t>
      </w:r>
    </w:p>
    <w:p w:rsidR="003D55FE" w:rsidRDefault="003D55FE" w:rsidP="003D5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A</w:t>
      </w:r>
      <w:r w:rsidRPr="003D55FE">
        <w:rPr>
          <w:rFonts w:ascii="Calibri-Bold" w:hAnsi="Calibri-Bold" w:cs="Calibri-Bold"/>
          <w:bCs/>
          <w:sz w:val="24"/>
          <w:szCs w:val="24"/>
        </w:rPr>
        <w:t xml:space="preserve"> comprehensive initial assessment </w:t>
      </w:r>
      <w:r>
        <w:rPr>
          <w:rFonts w:ascii="Calibri-Bold" w:hAnsi="Calibri-Bold" w:cs="Calibri-Bold"/>
          <w:bCs/>
          <w:sz w:val="24"/>
          <w:szCs w:val="24"/>
        </w:rPr>
        <w:t xml:space="preserve">with a supervisor </w:t>
      </w:r>
      <w:r w:rsidRPr="003D55FE">
        <w:rPr>
          <w:rFonts w:ascii="Calibri-Bold" w:hAnsi="Calibri-Bold" w:cs="Calibri-Bold"/>
          <w:bCs/>
          <w:sz w:val="24"/>
          <w:szCs w:val="24"/>
        </w:rPr>
        <w:t xml:space="preserve">(which we call a wellbeing conversation) </w:t>
      </w:r>
      <w:r>
        <w:rPr>
          <w:rFonts w:ascii="Calibri-Bold" w:hAnsi="Calibri-Bold" w:cs="Calibri-Bold"/>
          <w:bCs/>
          <w:sz w:val="24"/>
          <w:szCs w:val="24"/>
        </w:rPr>
        <w:t>to asses suitability for MHST.</w:t>
      </w:r>
    </w:p>
    <w:p w:rsidR="003D55FE" w:rsidRDefault="003D55FE" w:rsidP="003D5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An appointment with an EMHP to explore the situation in more detail and establish which of our LI-CBT intervent</w:t>
      </w:r>
      <w:r w:rsidR="00B822CE">
        <w:rPr>
          <w:rFonts w:ascii="Calibri-Bold" w:hAnsi="Calibri-Bold" w:cs="Calibri-Bold"/>
          <w:bCs/>
          <w:sz w:val="24"/>
          <w:szCs w:val="24"/>
        </w:rPr>
        <w:t>ions is most appropriate.</w:t>
      </w:r>
    </w:p>
    <w:p w:rsidR="003D55FE" w:rsidRPr="003D55FE" w:rsidRDefault="003D55FE" w:rsidP="003D5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S</w:t>
      </w:r>
      <w:r w:rsidRPr="003D55FE">
        <w:rPr>
          <w:rFonts w:ascii="Calibri-Bold" w:hAnsi="Calibri-Bold" w:cs="Calibri-Bold"/>
          <w:bCs/>
          <w:sz w:val="24"/>
          <w:szCs w:val="24"/>
        </w:rPr>
        <w:t xml:space="preserve">ix to eight sessions of </w:t>
      </w:r>
      <w:r>
        <w:rPr>
          <w:rFonts w:ascii="Calibri-Bold" w:hAnsi="Calibri-Bold" w:cs="Calibri-Bold"/>
          <w:bCs/>
          <w:sz w:val="24"/>
          <w:szCs w:val="24"/>
        </w:rPr>
        <w:t xml:space="preserve">the agreed LI-CBT </w:t>
      </w:r>
      <w:r w:rsidRPr="003D55FE">
        <w:rPr>
          <w:rFonts w:ascii="Calibri-Bold" w:hAnsi="Calibri-Bold" w:cs="Calibri-Bold"/>
          <w:bCs/>
          <w:sz w:val="24"/>
          <w:szCs w:val="24"/>
        </w:rPr>
        <w:t>intervention.</w:t>
      </w: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I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t is possible many of </w:t>
      </w:r>
      <w:r>
        <w:rPr>
          <w:rFonts w:ascii="Calibri-Bold" w:hAnsi="Calibri-Bold" w:cs="Calibri-Bold"/>
          <w:bCs/>
          <w:sz w:val="24"/>
          <w:szCs w:val="24"/>
        </w:rPr>
        <w:t xml:space="preserve">the 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young people </w:t>
      </w:r>
      <w:r>
        <w:rPr>
          <w:rFonts w:ascii="Calibri-Bold" w:hAnsi="Calibri-Bold" w:cs="Calibri-Bold"/>
          <w:bCs/>
          <w:sz w:val="24"/>
          <w:szCs w:val="24"/>
        </w:rPr>
        <w:t>we see could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 improve during this time. However, some children and young people may require fewer contacts or </w:t>
      </w:r>
      <w:r w:rsidR="00B822CE">
        <w:rPr>
          <w:rFonts w:ascii="Calibri-Bold" w:hAnsi="Calibri-Bold" w:cs="Calibri-Bold"/>
          <w:bCs/>
          <w:sz w:val="24"/>
          <w:szCs w:val="24"/>
        </w:rPr>
        <w:t xml:space="preserve">the </w:t>
      </w:r>
      <w:r w:rsidRPr="00B54417">
        <w:rPr>
          <w:rFonts w:ascii="Calibri-Bold" w:hAnsi="Calibri-Bold" w:cs="Calibri-Bold"/>
          <w:bCs/>
          <w:sz w:val="24"/>
          <w:szCs w:val="24"/>
        </w:rPr>
        <w:t>support may span a longer period of time</w:t>
      </w:r>
      <w:r w:rsidR="00B822CE">
        <w:rPr>
          <w:rFonts w:ascii="Calibri-Bold" w:hAnsi="Calibri-Bold" w:cs="Calibri-Bold"/>
          <w:bCs/>
          <w:sz w:val="24"/>
          <w:szCs w:val="24"/>
        </w:rPr>
        <w:t>. A</w:t>
      </w:r>
      <w:r w:rsidRPr="00B54417">
        <w:rPr>
          <w:rFonts w:ascii="Calibri-Bold" w:hAnsi="Calibri-Bold" w:cs="Calibri-Bold"/>
          <w:bCs/>
          <w:sz w:val="24"/>
          <w:szCs w:val="24"/>
        </w:rPr>
        <w:t>s a result</w:t>
      </w:r>
      <w:r w:rsidR="00B822CE">
        <w:rPr>
          <w:rFonts w:ascii="Calibri-Bold" w:hAnsi="Calibri-Bold" w:cs="Calibri-Bold"/>
          <w:bCs/>
          <w:sz w:val="24"/>
          <w:szCs w:val="24"/>
        </w:rPr>
        <w:t>,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sz w:val="24"/>
          <w:szCs w:val="24"/>
        </w:rPr>
        <w:t>EMHP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’s would then refer on through a stepped care </w:t>
      </w:r>
      <w:r>
        <w:rPr>
          <w:rFonts w:ascii="Calibri-Bold" w:hAnsi="Calibri-Bold" w:cs="Calibri-Bold"/>
          <w:bCs/>
          <w:sz w:val="24"/>
          <w:szCs w:val="24"/>
        </w:rPr>
        <w:t>approach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 or signpost as appropriate. </w:t>
      </w:r>
    </w:p>
    <w:p w:rsidR="003D55FE" w:rsidRPr="00B54417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B54417">
        <w:rPr>
          <w:rFonts w:ascii="Calibri-Bold" w:hAnsi="Calibri-Bold" w:cs="Calibri-Bold"/>
          <w:bCs/>
          <w:sz w:val="24"/>
          <w:szCs w:val="24"/>
        </w:rPr>
        <w:t>Initial sessions will involve psycho</w:t>
      </w:r>
      <w:r>
        <w:rPr>
          <w:rFonts w:ascii="Calibri-Bold" w:hAnsi="Calibri-Bold" w:cs="Calibri-Bold"/>
          <w:bCs/>
          <w:sz w:val="24"/>
          <w:szCs w:val="24"/>
        </w:rPr>
        <w:t>-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education, leading to structured sessions using </w:t>
      </w:r>
      <w:r w:rsidR="00B822CE">
        <w:rPr>
          <w:rFonts w:ascii="Calibri-Bold" w:hAnsi="Calibri-Bold" w:cs="Calibri-Bold"/>
          <w:bCs/>
          <w:sz w:val="24"/>
          <w:szCs w:val="24"/>
        </w:rPr>
        <w:t>LI-</w:t>
      </w:r>
      <w:r w:rsidRPr="00B54417">
        <w:rPr>
          <w:rFonts w:ascii="Calibri-Bold" w:hAnsi="Calibri-Bold" w:cs="Calibri-Bold"/>
          <w:bCs/>
          <w:sz w:val="24"/>
          <w:szCs w:val="24"/>
        </w:rPr>
        <w:t>CBT</w:t>
      </w:r>
      <w:r w:rsidR="00B822CE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B54417">
        <w:rPr>
          <w:rFonts w:ascii="Calibri-Bold" w:hAnsi="Calibri-Bold" w:cs="Calibri-Bold"/>
          <w:bCs/>
          <w:sz w:val="24"/>
          <w:szCs w:val="24"/>
        </w:rPr>
        <w:t>informed discussion</w:t>
      </w:r>
      <w:r>
        <w:rPr>
          <w:rFonts w:ascii="Calibri-Bold" w:hAnsi="Calibri-Bold" w:cs="Calibri-Bold"/>
          <w:bCs/>
          <w:sz w:val="24"/>
          <w:szCs w:val="24"/>
        </w:rPr>
        <w:t>s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 to develop understanding of</w:t>
      </w:r>
      <w:r>
        <w:rPr>
          <w:rFonts w:ascii="Calibri-Bold" w:hAnsi="Calibri-Bold" w:cs="Calibri-Bold"/>
          <w:bCs/>
          <w:sz w:val="24"/>
          <w:szCs w:val="24"/>
        </w:rPr>
        <w:t xml:space="preserve"> the reported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 difficulties. The </w:t>
      </w:r>
      <w:r w:rsidR="00B822CE">
        <w:rPr>
          <w:rFonts w:ascii="Calibri-Bold" w:hAnsi="Calibri-Bold" w:cs="Calibri-Bold"/>
          <w:bCs/>
          <w:sz w:val="24"/>
          <w:szCs w:val="24"/>
        </w:rPr>
        <w:t xml:space="preserve">EMHP </w:t>
      </w:r>
      <w:r w:rsidRPr="00B54417">
        <w:rPr>
          <w:rFonts w:ascii="Calibri-Bold" w:hAnsi="Calibri-Bold" w:cs="Calibri-Bold"/>
          <w:bCs/>
          <w:sz w:val="24"/>
          <w:szCs w:val="24"/>
        </w:rPr>
        <w:t>will seek to utilise parental/carer support to create SMART goals for therapy and work towards sustainable change.</w:t>
      </w:r>
      <w:r>
        <w:rPr>
          <w:rFonts w:ascii="Calibri-Bold" w:hAnsi="Calibri-Bold" w:cs="Calibri-Bold"/>
          <w:bCs/>
          <w:sz w:val="24"/>
          <w:szCs w:val="24"/>
        </w:rPr>
        <w:t xml:space="preserve"> </w:t>
      </w:r>
    </w:p>
    <w:p w:rsidR="00B822CE" w:rsidRDefault="00B822C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i/>
          <w:sz w:val="24"/>
          <w:szCs w:val="24"/>
        </w:rPr>
      </w:pP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B54417">
        <w:rPr>
          <w:rFonts w:ascii="Calibri-Bold" w:hAnsi="Calibri-Bold" w:cs="Calibri-Bold"/>
          <w:bCs/>
          <w:sz w:val="24"/>
          <w:szCs w:val="24"/>
        </w:rPr>
        <w:t xml:space="preserve">All interventions will be focused on supporting CYP and </w:t>
      </w:r>
      <w:r>
        <w:rPr>
          <w:rFonts w:ascii="Calibri-Bold" w:hAnsi="Calibri-Bold" w:cs="Calibri-Bold"/>
          <w:bCs/>
          <w:sz w:val="24"/>
          <w:szCs w:val="24"/>
        </w:rPr>
        <w:t xml:space="preserve">their </w:t>
      </w:r>
      <w:r w:rsidRPr="00B54417">
        <w:rPr>
          <w:rFonts w:ascii="Calibri-Bold" w:hAnsi="Calibri-Bold" w:cs="Calibri-Bold"/>
          <w:bCs/>
          <w:sz w:val="24"/>
          <w:szCs w:val="24"/>
        </w:rPr>
        <w:t>parents to use and engage with the materials, including helping them to problem solve any difficulties faced and provide the motivation and encouragement to work through the materials.</w:t>
      </w:r>
      <w:r>
        <w:rPr>
          <w:rFonts w:ascii="Calibri-Bold" w:hAnsi="Calibri-Bold" w:cs="Calibri-Bold"/>
          <w:bCs/>
          <w:sz w:val="24"/>
          <w:szCs w:val="24"/>
        </w:rPr>
        <w:t xml:space="preserve"> This can have a very typical talking therapy (cognitive) approach or be utilising behavioural approaches using exposure techniques and working through behavioural experiments.</w:t>
      </w: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p w:rsidR="003D55FE" w:rsidRPr="00B54417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On the following pages you will find tables in order to help make the criteria both distinctive and clear. </w:t>
      </w:r>
      <w:r w:rsidRPr="00745ECD">
        <w:rPr>
          <w:rFonts w:ascii="Calibri-Bold" w:hAnsi="Calibri-Bold" w:cs="Calibri-Bold"/>
          <w:bCs/>
          <w:sz w:val="24"/>
          <w:szCs w:val="24"/>
        </w:rPr>
        <w:t>The table</w:t>
      </w:r>
      <w:r>
        <w:rPr>
          <w:rFonts w:ascii="Calibri-Bold" w:hAnsi="Calibri-Bold" w:cs="Calibri-Bold"/>
          <w:bCs/>
          <w:sz w:val="24"/>
          <w:szCs w:val="24"/>
        </w:rPr>
        <w:t>s summarise</w:t>
      </w:r>
      <w:r w:rsidRPr="00745ECD">
        <w:rPr>
          <w:rFonts w:ascii="Calibri-Bold" w:hAnsi="Calibri-Bold" w:cs="Calibri-Bold"/>
          <w:bCs/>
          <w:sz w:val="24"/>
          <w:szCs w:val="24"/>
        </w:rPr>
        <w:t xml:space="preserve"> the specific conditions the </w:t>
      </w:r>
      <w:r w:rsidR="00B822CE">
        <w:rPr>
          <w:rFonts w:ascii="Calibri-Bold" w:hAnsi="Calibri-Bold" w:cs="Calibri-Bold"/>
          <w:bCs/>
          <w:sz w:val="24"/>
          <w:szCs w:val="24"/>
        </w:rPr>
        <w:t>intervention</w:t>
      </w:r>
      <w:r w:rsidRPr="00745ECD">
        <w:rPr>
          <w:rFonts w:ascii="Calibri-Bold" w:hAnsi="Calibri-Bold" w:cs="Calibri-Bold"/>
          <w:bCs/>
          <w:sz w:val="24"/>
          <w:szCs w:val="24"/>
        </w:rPr>
        <w:t xml:space="preserve"> could be expected to address,</w:t>
      </w:r>
      <w:r>
        <w:rPr>
          <w:rFonts w:ascii="Calibri-Bold" w:hAnsi="Calibri-Bold" w:cs="Calibri-Bold"/>
          <w:bCs/>
          <w:sz w:val="24"/>
          <w:szCs w:val="24"/>
        </w:rPr>
        <w:t xml:space="preserve"> as well as</w:t>
      </w:r>
      <w:r w:rsidRPr="00745ECD">
        <w:rPr>
          <w:rFonts w:ascii="Calibri-Bold" w:hAnsi="Calibri-Bold" w:cs="Calibri-Bold"/>
          <w:bCs/>
          <w:sz w:val="24"/>
          <w:szCs w:val="24"/>
        </w:rPr>
        <w:t xml:space="preserve"> those they </w:t>
      </w:r>
      <w:r w:rsidRPr="006E2A87">
        <w:rPr>
          <w:rFonts w:ascii="Calibri-Bold" w:hAnsi="Calibri-Bold" w:cs="Calibri-Bold"/>
          <w:b/>
          <w:bCs/>
          <w:i/>
          <w:sz w:val="24"/>
          <w:szCs w:val="24"/>
        </w:rPr>
        <w:t>should not</w:t>
      </w:r>
      <w:r w:rsidR="00B822CE">
        <w:rPr>
          <w:rFonts w:ascii="Calibri-Bold" w:hAnsi="Calibri-Bold" w:cs="Calibri-Bold"/>
          <w:b/>
          <w:bCs/>
          <w:i/>
          <w:sz w:val="24"/>
          <w:szCs w:val="24"/>
        </w:rPr>
        <w:t xml:space="preserve">. </w:t>
      </w:r>
      <w:r w:rsidR="00B822CE" w:rsidRPr="00B822CE">
        <w:rPr>
          <w:rFonts w:ascii="Calibri-Bold" w:hAnsi="Calibri-Bold" w:cs="Calibri-Bold"/>
          <w:bCs/>
          <w:sz w:val="24"/>
          <w:szCs w:val="24"/>
        </w:rPr>
        <w:t>T</w:t>
      </w:r>
      <w:r>
        <w:rPr>
          <w:rFonts w:ascii="Calibri-Bold" w:hAnsi="Calibri-Bold" w:cs="Calibri-Bold"/>
          <w:bCs/>
          <w:sz w:val="24"/>
          <w:szCs w:val="24"/>
        </w:rPr>
        <w:t>hey also identify</w:t>
      </w:r>
      <w:r w:rsidRPr="00745ECD">
        <w:rPr>
          <w:rFonts w:ascii="Calibri-Bold" w:hAnsi="Calibri-Bold" w:cs="Calibri-Bold"/>
          <w:bCs/>
          <w:sz w:val="24"/>
          <w:szCs w:val="24"/>
        </w:rPr>
        <w:t xml:space="preserve"> those situations where discretion is required and a case by case decision </w:t>
      </w:r>
      <w:r w:rsidR="00B822CE">
        <w:rPr>
          <w:rFonts w:ascii="Calibri-Bold" w:hAnsi="Calibri-Bold" w:cs="Calibri-Bold"/>
          <w:bCs/>
          <w:sz w:val="24"/>
          <w:szCs w:val="24"/>
        </w:rPr>
        <w:t xml:space="preserve">will </w:t>
      </w:r>
      <w:r>
        <w:rPr>
          <w:rFonts w:ascii="Calibri-Bold" w:hAnsi="Calibri-Bold" w:cs="Calibri-Bold"/>
          <w:bCs/>
          <w:sz w:val="24"/>
          <w:szCs w:val="24"/>
        </w:rPr>
        <w:t xml:space="preserve">be </w:t>
      </w:r>
      <w:r w:rsidRPr="00745ECD">
        <w:rPr>
          <w:rFonts w:ascii="Calibri-Bold" w:hAnsi="Calibri-Bold" w:cs="Calibri-Bold"/>
          <w:bCs/>
          <w:sz w:val="24"/>
          <w:szCs w:val="24"/>
        </w:rPr>
        <w:t>made.</w:t>
      </w:r>
    </w:p>
    <w:p w:rsidR="003D55FE" w:rsidRDefault="003D55FE" w:rsidP="003D55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912C92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  <w:r>
        <w:rPr>
          <w:rFonts w:ascii="Calibri-Bold" w:hAnsi="Calibri-Bold" w:cs="Calibri-Bold"/>
          <w:b/>
          <w:bCs/>
          <w:color w:val="0099CC"/>
          <w:sz w:val="24"/>
          <w:szCs w:val="24"/>
        </w:rPr>
        <w:lastRenderedPageBreak/>
        <w:t xml:space="preserve">Inclusion criteria </w:t>
      </w:r>
    </w:p>
    <w:p w:rsidR="00912C92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</w:p>
    <w:p w:rsidR="00912C92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  <w:r>
        <w:rPr>
          <w:rFonts w:ascii="Calibri-Bold" w:hAnsi="Calibri-Bold" w:cs="Calibri-Bold"/>
          <w:b/>
          <w:bCs/>
          <w:color w:val="0099CC"/>
          <w:sz w:val="24"/>
          <w:szCs w:val="24"/>
        </w:rPr>
        <w:t>Age</w:t>
      </w: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>:</w:t>
      </w:r>
    </w:p>
    <w:p w:rsidR="00912C92" w:rsidRPr="00B54417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B54417">
        <w:rPr>
          <w:rFonts w:ascii="Calibri-Bold" w:hAnsi="Calibri-Bold" w:cs="Calibri-Bold"/>
          <w:bCs/>
          <w:sz w:val="24"/>
          <w:szCs w:val="24"/>
        </w:rPr>
        <w:t>Referrals are welcome for all children between the ages of 5 and 18.</w:t>
      </w:r>
    </w:p>
    <w:p w:rsidR="00912C92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912C92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B0F0"/>
          <w:sz w:val="24"/>
          <w:szCs w:val="24"/>
        </w:rPr>
      </w:pPr>
      <w:r w:rsidRPr="00912C92">
        <w:rPr>
          <w:rFonts w:ascii="Calibri-Bold" w:hAnsi="Calibri-Bold" w:cs="Calibri-Bold"/>
          <w:b/>
          <w:bCs/>
          <w:color w:val="00B0F0"/>
          <w:sz w:val="24"/>
          <w:szCs w:val="24"/>
        </w:rPr>
        <w:t>Location:</w:t>
      </w:r>
    </w:p>
    <w:p w:rsidR="00912C92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 w:rsidRPr="00912C92">
        <w:rPr>
          <w:rFonts w:ascii="Calibri-Bold" w:hAnsi="Calibri-Bold" w:cs="Calibri-Bold"/>
          <w:bCs/>
          <w:sz w:val="24"/>
          <w:szCs w:val="24"/>
        </w:rPr>
        <w:t>Referrals are welcome from</w:t>
      </w:r>
      <w:r>
        <w:rPr>
          <w:rFonts w:ascii="Calibri-Bold" w:hAnsi="Calibri-Bold" w:cs="Calibri-Bold"/>
          <w:bCs/>
          <w:sz w:val="24"/>
          <w:szCs w:val="24"/>
        </w:rPr>
        <w:t xml:space="preserve"> </w:t>
      </w:r>
      <w:r w:rsidR="003B63E3">
        <w:rPr>
          <w:rFonts w:ascii="Calibri-Bold" w:hAnsi="Calibri-Bold" w:cs="Calibri-Bold"/>
          <w:bCs/>
          <w:sz w:val="24"/>
          <w:szCs w:val="24"/>
        </w:rPr>
        <w:t>children enrolled at the following schools only:</w:t>
      </w:r>
    </w:p>
    <w:p w:rsidR="003B63E3" w:rsidRDefault="003B63E3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  <w:highlight w:val="yellow"/>
        </w:rPr>
      </w:pPr>
      <w:r w:rsidRPr="003B63E3">
        <w:rPr>
          <w:rFonts w:ascii="Calibri-Bold" w:hAnsi="Calibri-Bold" w:cs="Calibri-Bold"/>
          <w:bCs/>
          <w:sz w:val="24"/>
          <w:szCs w:val="24"/>
          <w:highlight w:val="yellow"/>
        </w:rPr>
        <w:t>INSERT</w:t>
      </w:r>
    </w:p>
    <w:p w:rsidR="003B63E3" w:rsidRDefault="003B63E3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p w:rsidR="003B63E3" w:rsidRPr="00912C92" w:rsidRDefault="003B63E3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If you would like to discuss…</w:t>
      </w:r>
    </w:p>
    <w:p w:rsidR="00912C92" w:rsidRPr="00B54417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912C92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>D</w:t>
      </w:r>
      <w:r>
        <w:rPr>
          <w:rFonts w:ascii="Calibri-Bold" w:hAnsi="Calibri-Bold" w:cs="Calibri-Bold"/>
          <w:b/>
          <w:bCs/>
          <w:color w:val="0099CC"/>
          <w:sz w:val="24"/>
          <w:szCs w:val="24"/>
        </w:rPr>
        <w:t>iagnosis</w:t>
      </w: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>:</w:t>
      </w:r>
    </w:p>
    <w:p w:rsidR="00912C92" w:rsidRPr="00B54417" w:rsidRDefault="00912C92" w:rsidP="00912C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Requests 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are considered on a needs basis and </w:t>
      </w:r>
      <w:r w:rsidR="003B63E3">
        <w:rPr>
          <w:rFonts w:ascii="Calibri-Bold" w:hAnsi="Calibri-Bold" w:cs="Calibri-Bold"/>
          <w:bCs/>
          <w:sz w:val="24"/>
          <w:szCs w:val="24"/>
        </w:rPr>
        <w:t xml:space="preserve">no diagnosis is required. </w:t>
      </w:r>
      <w:r>
        <w:rPr>
          <w:rFonts w:ascii="Calibri-Bold" w:hAnsi="Calibri-Bold" w:cs="Calibri-Bold"/>
          <w:bCs/>
          <w:sz w:val="24"/>
          <w:szCs w:val="24"/>
        </w:rPr>
        <w:t xml:space="preserve">MHST </w:t>
      </w:r>
      <w:r w:rsidRPr="00B54417">
        <w:rPr>
          <w:rFonts w:ascii="Calibri-Bold" w:hAnsi="Calibri-Bold" w:cs="Calibri-Bold"/>
          <w:bCs/>
          <w:sz w:val="24"/>
          <w:szCs w:val="24"/>
        </w:rPr>
        <w:t xml:space="preserve">will offer a service to all CYP </w:t>
      </w:r>
      <w:r>
        <w:rPr>
          <w:rFonts w:ascii="Calibri-Bold" w:hAnsi="Calibri-Bold" w:cs="Calibri-Bold"/>
          <w:bCs/>
          <w:sz w:val="24"/>
          <w:szCs w:val="24"/>
        </w:rPr>
        <w:t xml:space="preserve">who attend partner schools that are suitable for the interventions MHST offer. Specific detail around suitable presentations and complexity are listed on </w:t>
      </w:r>
      <w:r w:rsidRPr="003D55FE">
        <w:rPr>
          <w:rFonts w:ascii="Calibri-Bold" w:hAnsi="Calibri-Bold" w:cs="Calibri-Bold"/>
          <w:bCs/>
          <w:sz w:val="24"/>
          <w:szCs w:val="24"/>
          <w:highlight w:val="yellow"/>
        </w:rPr>
        <w:t>pages 3 &amp; 4.</w:t>
      </w:r>
    </w:p>
    <w:p w:rsidR="00912C92" w:rsidRDefault="00912C92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</w:p>
    <w:p w:rsidR="00B54417" w:rsidRDefault="00B54417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>C</w:t>
      </w:r>
      <w:r w:rsidR="00E267A1">
        <w:rPr>
          <w:rFonts w:ascii="Calibri-Bold" w:hAnsi="Calibri-Bold" w:cs="Calibri-Bold"/>
          <w:b/>
          <w:bCs/>
          <w:color w:val="0099CC"/>
          <w:sz w:val="24"/>
          <w:szCs w:val="24"/>
        </w:rPr>
        <w:t>omplexity</w:t>
      </w:r>
      <w:r>
        <w:rPr>
          <w:rFonts w:ascii="Calibri-Bold" w:hAnsi="Calibri-Bold" w:cs="Calibri-Bold"/>
          <w:b/>
          <w:bCs/>
          <w:color w:val="0099CC"/>
          <w:sz w:val="24"/>
          <w:szCs w:val="24"/>
        </w:rPr>
        <w:t>:</w:t>
      </w:r>
    </w:p>
    <w:p w:rsidR="00206532" w:rsidRDefault="003B63E3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We </w:t>
      </w:r>
      <w:r w:rsidR="00F61DD5" w:rsidRPr="00B54417">
        <w:rPr>
          <w:rFonts w:ascii="Calibri-Bold" w:hAnsi="Calibri-Bold" w:cs="Calibri-Bold"/>
          <w:bCs/>
          <w:sz w:val="24"/>
          <w:szCs w:val="24"/>
        </w:rPr>
        <w:t xml:space="preserve">work </w:t>
      </w:r>
      <w:r>
        <w:rPr>
          <w:rFonts w:ascii="Calibri-Bold" w:hAnsi="Calibri-Bold" w:cs="Calibri-Bold"/>
          <w:bCs/>
          <w:sz w:val="24"/>
          <w:szCs w:val="24"/>
        </w:rPr>
        <w:t xml:space="preserve">in partnership with </w:t>
      </w:r>
      <w:r w:rsidR="00F61DD5" w:rsidRPr="00B54417">
        <w:rPr>
          <w:rFonts w:ascii="Calibri-Bold" w:hAnsi="Calibri-Bold" w:cs="Calibri-Bold"/>
          <w:bCs/>
          <w:sz w:val="24"/>
          <w:szCs w:val="24"/>
        </w:rPr>
        <w:t xml:space="preserve">children and young people </w:t>
      </w:r>
      <w:r>
        <w:rPr>
          <w:rFonts w:ascii="Calibri-Bold" w:hAnsi="Calibri-Bold" w:cs="Calibri-Bold"/>
          <w:bCs/>
          <w:sz w:val="24"/>
          <w:szCs w:val="24"/>
        </w:rPr>
        <w:t xml:space="preserve">experiencing </w:t>
      </w:r>
      <w:r w:rsidR="00F61DD5" w:rsidRPr="00B54417">
        <w:rPr>
          <w:rFonts w:ascii="Calibri-Bold" w:hAnsi="Calibri-Bold" w:cs="Calibri-Bold"/>
          <w:bCs/>
          <w:sz w:val="24"/>
          <w:szCs w:val="24"/>
        </w:rPr>
        <w:t xml:space="preserve">mild to moderate mental health difficulties (anxiety, low mood and behavioural difficulties). </w:t>
      </w:r>
      <w:r w:rsidR="00206532" w:rsidRPr="00B54417">
        <w:rPr>
          <w:rFonts w:ascii="Calibri-Bold" w:hAnsi="Calibri-Bold" w:cs="Calibri-Bold"/>
          <w:bCs/>
          <w:sz w:val="24"/>
          <w:szCs w:val="24"/>
        </w:rPr>
        <w:t xml:space="preserve">The </w:t>
      </w:r>
      <w:r>
        <w:rPr>
          <w:rFonts w:ascii="Calibri-Bold" w:hAnsi="Calibri-Bold" w:cs="Calibri-Bold"/>
          <w:bCs/>
          <w:sz w:val="24"/>
          <w:szCs w:val="24"/>
        </w:rPr>
        <w:t xml:space="preserve">team are unable to </w:t>
      </w:r>
      <w:r w:rsidR="00206532" w:rsidRPr="00B54417">
        <w:rPr>
          <w:rFonts w:ascii="Calibri-Bold" w:hAnsi="Calibri-Bold" w:cs="Calibri-Bold"/>
          <w:bCs/>
          <w:sz w:val="24"/>
          <w:szCs w:val="24"/>
        </w:rPr>
        <w:t xml:space="preserve">work with serious and enduring mental health </w:t>
      </w:r>
      <w:r>
        <w:rPr>
          <w:rFonts w:ascii="Calibri-Bold" w:hAnsi="Calibri-Bold" w:cs="Calibri-Bold"/>
          <w:bCs/>
          <w:sz w:val="24"/>
          <w:szCs w:val="24"/>
        </w:rPr>
        <w:t xml:space="preserve">difficulties including </w:t>
      </w:r>
      <w:r w:rsidR="00206532" w:rsidRPr="00B54417">
        <w:rPr>
          <w:rFonts w:ascii="Calibri-Bold" w:hAnsi="Calibri-Bold" w:cs="Calibri-Bold"/>
          <w:bCs/>
          <w:sz w:val="24"/>
          <w:szCs w:val="24"/>
        </w:rPr>
        <w:t>complex, or moderate to high need situations or presentations.</w:t>
      </w:r>
      <w:r w:rsidR="00206532">
        <w:rPr>
          <w:rFonts w:ascii="Calibri-Bold" w:hAnsi="Calibri-Bold" w:cs="Calibri-Bold"/>
          <w:bCs/>
          <w:sz w:val="24"/>
          <w:szCs w:val="24"/>
        </w:rPr>
        <w:t xml:space="preserve"> </w:t>
      </w:r>
    </w:p>
    <w:p w:rsidR="00206532" w:rsidRDefault="00206532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p w:rsidR="00745ECD" w:rsidRPr="003B63E3" w:rsidRDefault="003B63E3" w:rsidP="003B63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We are</w:t>
      </w:r>
      <w:r w:rsidR="00745ECD" w:rsidRPr="003B63E3">
        <w:rPr>
          <w:rFonts w:ascii="Calibri-Bold" w:hAnsi="Calibri-Bold" w:cs="Calibri-Bold"/>
          <w:bCs/>
          <w:sz w:val="24"/>
          <w:szCs w:val="24"/>
        </w:rPr>
        <w:t xml:space="preserve"> commissioned to provide</w:t>
      </w:r>
      <w:r w:rsidR="00C352A2" w:rsidRPr="003B63E3">
        <w:rPr>
          <w:rFonts w:ascii="Calibri-Bold" w:hAnsi="Calibri-Bold" w:cs="Calibri-Bold"/>
          <w:bCs/>
          <w:sz w:val="24"/>
          <w:szCs w:val="24"/>
        </w:rPr>
        <w:t xml:space="preserve"> a</w:t>
      </w:r>
      <w:r w:rsidR="00745ECD" w:rsidRPr="003B63E3">
        <w:rPr>
          <w:rFonts w:ascii="Calibri-Bold" w:hAnsi="Calibri-Bold" w:cs="Calibri-Bold"/>
          <w:bCs/>
          <w:sz w:val="24"/>
          <w:szCs w:val="24"/>
        </w:rPr>
        <w:t xml:space="preserve"> clear and tailored low-intensity intervention and will therefore not be appropriate for </w:t>
      </w:r>
      <w:r>
        <w:rPr>
          <w:rFonts w:ascii="Calibri-Bold" w:hAnsi="Calibri-Bold" w:cs="Calibri-Bold"/>
          <w:bCs/>
          <w:sz w:val="24"/>
          <w:szCs w:val="24"/>
        </w:rPr>
        <w:t xml:space="preserve">children and young people </w:t>
      </w:r>
      <w:r w:rsidR="00745ECD" w:rsidRPr="003B63E3">
        <w:rPr>
          <w:rFonts w:ascii="Calibri-Bold" w:hAnsi="Calibri-Bold" w:cs="Calibri-Bold"/>
          <w:bCs/>
          <w:sz w:val="24"/>
          <w:szCs w:val="24"/>
        </w:rPr>
        <w:t xml:space="preserve">requiring a </w:t>
      </w:r>
      <w:r>
        <w:rPr>
          <w:rFonts w:ascii="Calibri-Bold" w:hAnsi="Calibri-Bold" w:cs="Calibri-Bold"/>
          <w:bCs/>
          <w:sz w:val="24"/>
          <w:szCs w:val="24"/>
        </w:rPr>
        <w:t xml:space="preserve">complex </w:t>
      </w:r>
      <w:r w:rsidR="00745ECD" w:rsidRPr="003B63E3">
        <w:rPr>
          <w:rFonts w:ascii="Calibri-Bold" w:hAnsi="Calibri-Bold" w:cs="Calibri-Bold"/>
          <w:bCs/>
          <w:sz w:val="24"/>
          <w:szCs w:val="24"/>
        </w:rPr>
        <w:t>multi-agency approach.</w:t>
      </w:r>
    </w:p>
    <w:p w:rsidR="00F61DD5" w:rsidRDefault="00F61DD5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99CC"/>
          <w:sz w:val="24"/>
          <w:szCs w:val="24"/>
        </w:rPr>
      </w:pPr>
    </w:p>
    <w:p w:rsidR="00B54417" w:rsidRPr="00C352A2" w:rsidRDefault="00B54417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color w:val="0099CC"/>
          <w:sz w:val="24"/>
          <w:szCs w:val="24"/>
        </w:rPr>
        <w:t xml:space="preserve">Expectations from </w:t>
      </w:r>
      <w:r w:rsidR="00DC3638">
        <w:rPr>
          <w:rFonts w:ascii="Calibri-Bold" w:hAnsi="Calibri-Bold" w:cs="Calibri-Bold"/>
          <w:b/>
          <w:bCs/>
          <w:color w:val="0099CC"/>
          <w:sz w:val="24"/>
          <w:szCs w:val="24"/>
        </w:rPr>
        <w:t>those already offering support</w:t>
      </w:r>
      <w:r w:rsidRPr="00B54417">
        <w:rPr>
          <w:rFonts w:ascii="Calibri-Bold" w:hAnsi="Calibri-Bold" w:cs="Calibri-Bold"/>
          <w:b/>
          <w:bCs/>
          <w:color w:val="0099CC"/>
          <w:sz w:val="24"/>
          <w:szCs w:val="24"/>
        </w:rPr>
        <w:t>:</w:t>
      </w:r>
    </w:p>
    <w:p w:rsidR="006E2A87" w:rsidRDefault="00DC3638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Please 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consider the desire </w:t>
      </w:r>
      <w:r>
        <w:rPr>
          <w:rFonts w:ascii="Calibri-Bold" w:hAnsi="Calibri-Bold" w:cs="Calibri-Bold"/>
          <w:bCs/>
          <w:sz w:val="24"/>
          <w:szCs w:val="24"/>
        </w:rPr>
        <w:t xml:space="preserve">the child or young person has 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>to engage</w:t>
      </w:r>
      <w:r>
        <w:rPr>
          <w:rFonts w:ascii="Calibri-Bold" w:hAnsi="Calibri-Bold" w:cs="Calibri-Bold"/>
          <w:bCs/>
          <w:sz w:val="24"/>
          <w:szCs w:val="24"/>
        </w:rPr>
        <w:t>. Our interventions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 require commitment and a </w:t>
      </w:r>
      <w:r w:rsidR="006E2A87">
        <w:rPr>
          <w:rFonts w:ascii="Calibri-Bold" w:hAnsi="Calibri-Bold" w:cs="Calibri-Bold"/>
          <w:bCs/>
          <w:sz w:val="24"/>
          <w:szCs w:val="24"/>
        </w:rPr>
        <w:t>participatory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 approach</w:t>
      </w:r>
      <w:r>
        <w:rPr>
          <w:rFonts w:ascii="Calibri-Bold" w:hAnsi="Calibri-Bold" w:cs="Calibri-Bold"/>
          <w:bCs/>
          <w:sz w:val="24"/>
          <w:szCs w:val="24"/>
        </w:rPr>
        <w:t>. LI-CBT is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 </w:t>
      </w:r>
      <w:r w:rsidR="006E2A87">
        <w:rPr>
          <w:rFonts w:ascii="Calibri-Bold" w:hAnsi="Calibri-Bold" w:cs="Calibri-Bold"/>
          <w:bCs/>
          <w:sz w:val="24"/>
          <w:szCs w:val="24"/>
        </w:rPr>
        <w:t>solution-focused</w:t>
      </w:r>
      <w:r>
        <w:rPr>
          <w:rFonts w:ascii="Calibri-Bold" w:hAnsi="Calibri-Bold" w:cs="Calibri-Bold"/>
          <w:bCs/>
          <w:sz w:val="24"/>
          <w:szCs w:val="24"/>
        </w:rPr>
        <w:t xml:space="preserve"> and </w:t>
      </w:r>
      <w:r w:rsidR="006E2A87">
        <w:rPr>
          <w:rFonts w:ascii="Calibri-Bold" w:hAnsi="Calibri-Bold" w:cs="Calibri-Bold"/>
          <w:bCs/>
          <w:sz w:val="24"/>
          <w:szCs w:val="24"/>
        </w:rPr>
        <w:t>problem-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solving </w:t>
      </w:r>
      <w:r>
        <w:rPr>
          <w:rFonts w:ascii="Calibri-Bold" w:hAnsi="Calibri-Bold" w:cs="Calibri-Bold"/>
          <w:bCs/>
          <w:sz w:val="24"/>
          <w:szCs w:val="24"/>
        </w:rPr>
        <w:t xml:space="preserve">in 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its delivery. </w:t>
      </w:r>
      <w:r w:rsidR="006E2A87">
        <w:rPr>
          <w:rFonts w:ascii="Calibri-Bold" w:hAnsi="Calibri-Bold" w:cs="Calibri-Bold"/>
          <w:bCs/>
          <w:sz w:val="24"/>
          <w:szCs w:val="24"/>
        </w:rPr>
        <w:t>A d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iscussion with </w:t>
      </w:r>
      <w:r>
        <w:rPr>
          <w:rFonts w:ascii="Calibri-Bold" w:hAnsi="Calibri-Bold" w:cs="Calibri-Bold"/>
          <w:bCs/>
          <w:sz w:val="24"/>
          <w:szCs w:val="24"/>
        </w:rPr>
        <w:t xml:space="preserve">the child, young person or their parents (younger children) before making a request about 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>the importan</w:t>
      </w:r>
      <w:r>
        <w:rPr>
          <w:rFonts w:ascii="Calibri-Bold" w:hAnsi="Calibri-Bold" w:cs="Calibri-Bold"/>
          <w:bCs/>
          <w:sz w:val="24"/>
          <w:szCs w:val="24"/>
        </w:rPr>
        <w:t>ce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sz w:val="24"/>
          <w:szCs w:val="24"/>
        </w:rPr>
        <w:t xml:space="preserve">of this 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participatory and goal focused approach </w:t>
      </w:r>
      <w:r w:rsidR="006E2A87">
        <w:rPr>
          <w:rFonts w:ascii="Calibri-Bold" w:hAnsi="Calibri-Bold" w:cs="Calibri-Bold"/>
          <w:bCs/>
          <w:sz w:val="24"/>
          <w:szCs w:val="24"/>
        </w:rPr>
        <w:t>is vital</w:t>
      </w:r>
      <w:r w:rsidR="006E2A87" w:rsidRPr="00B54417">
        <w:rPr>
          <w:rFonts w:ascii="Calibri-Bold" w:hAnsi="Calibri-Bold" w:cs="Calibri-Bold"/>
          <w:bCs/>
          <w:sz w:val="24"/>
          <w:szCs w:val="24"/>
        </w:rPr>
        <w:t xml:space="preserve">. </w:t>
      </w:r>
    </w:p>
    <w:p w:rsidR="006E2A87" w:rsidRDefault="006E2A87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p w:rsidR="006E2A87" w:rsidRDefault="00DC3638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Y</w:t>
      </w:r>
      <w:r w:rsidR="00745ECD" w:rsidRPr="00B54417">
        <w:rPr>
          <w:rFonts w:ascii="Calibri-Bold" w:hAnsi="Calibri-Bold" w:cs="Calibri-Bold"/>
          <w:bCs/>
          <w:sz w:val="24"/>
          <w:szCs w:val="24"/>
        </w:rPr>
        <w:t>oung people and the</w:t>
      </w:r>
      <w:r w:rsidR="00E267A1">
        <w:rPr>
          <w:rFonts w:ascii="Calibri-Bold" w:hAnsi="Calibri-Bold" w:cs="Calibri-Bold"/>
          <w:bCs/>
          <w:sz w:val="24"/>
          <w:szCs w:val="24"/>
        </w:rPr>
        <w:t>ir</w:t>
      </w:r>
      <w:r w:rsidR="00745ECD" w:rsidRPr="00B54417">
        <w:rPr>
          <w:rFonts w:ascii="Calibri-Bold" w:hAnsi="Calibri-Bold" w:cs="Calibri-Bold"/>
          <w:bCs/>
          <w:sz w:val="24"/>
          <w:szCs w:val="24"/>
        </w:rPr>
        <w:t xml:space="preserve"> families will </w:t>
      </w:r>
      <w:r>
        <w:rPr>
          <w:rFonts w:ascii="Calibri-Bold" w:hAnsi="Calibri-Bold" w:cs="Calibri-Bold"/>
          <w:bCs/>
          <w:sz w:val="24"/>
          <w:szCs w:val="24"/>
        </w:rPr>
        <w:t xml:space="preserve">also </w:t>
      </w:r>
      <w:r w:rsidR="00745ECD" w:rsidRPr="00B54417">
        <w:rPr>
          <w:rFonts w:ascii="Calibri-Bold" w:hAnsi="Calibri-Bold" w:cs="Calibri-Bold"/>
          <w:bCs/>
          <w:sz w:val="24"/>
          <w:szCs w:val="24"/>
        </w:rPr>
        <w:t xml:space="preserve">need to understand that engagement in </w:t>
      </w:r>
      <w:r>
        <w:rPr>
          <w:rFonts w:ascii="Calibri-Bold" w:hAnsi="Calibri-Bold" w:cs="Calibri-Bold"/>
          <w:bCs/>
          <w:sz w:val="24"/>
          <w:szCs w:val="24"/>
        </w:rPr>
        <w:t>LI-</w:t>
      </w:r>
      <w:r w:rsidR="00745ECD" w:rsidRPr="00B54417">
        <w:rPr>
          <w:rFonts w:ascii="Calibri-Bold" w:hAnsi="Calibri-Bold" w:cs="Calibri-Bold"/>
          <w:bCs/>
          <w:sz w:val="24"/>
          <w:szCs w:val="24"/>
        </w:rPr>
        <w:t>CBT will require a commitment to working at home and completing ‘</w:t>
      </w:r>
      <w:r w:rsidR="00745ECD" w:rsidRPr="00B54417">
        <w:rPr>
          <w:rFonts w:ascii="Calibri-Bold" w:hAnsi="Calibri-Bold" w:cs="Calibri-Bold"/>
          <w:bCs/>
          <w:i/>
          <w:sz w:val="24"/>
          <w:szCs w:val="24"/>
        </w:rPr>
        <w:t>home-work’</w:t>
      </w:r>
      <w:r w:rsidR="00745ECD" w:rsidRPr="00B54417">
        <w:rPr>
          <w:rFonts w:ascii="Calibri-Bold" w:hAnsi="Calibri-Bold" w:cs="Calibri-Bold"/>
          <w:bCs/>
          <w:sz w:val="24"/>
          <w:szCs w:val="24"/>
        </w:rPr>
        <w:t xml:space="preserve"> type tasks in order to facilitate the delivery of the intervention</w:t>
      </w:r>
      <w:r>
        <w:rPr>
          <w:rFonts w:ascii="Calibri-Bold" w:hAnsi="Calibri-Bold" w:cs="Calibri-Bold"/>
          <w:bCs/>
          <w:sz w:val="24"/>
          <w:szCs w:val="24"/>
        </w:rPr>
        <w:t>.</w:t>
      </w:r>
      <w:r w:rsidR="00745ECD" w:rsidRPr="00B54417">
        <w:rPr>
          <w:rFonts w:ascii="Calibri-Bold" w:hAnsi="Calibri-Bold" w:cs="Calibri-Bold"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sz w:val="24"/>
          <w:szCs w:val="24"/>
        </w:rPr>
        <w:t>M</w:t>
      </w:r>
      <w:r w:rsidR="00745ECD" w:rsidRPr="00B54417">
        <w:rPr>
          <w:rFonts w:ascii="Calibri-Bold" w:hAnsi="Calibri-Bold" w:cs="Calibri-Bold"/>
          <w:bCs/>
          <w:sz w:val="24"/>
          <w:szCs w:val="24"/>
        </w:rPr>
        <w:t xml:space="preserve">ost interventions will require </w:t>
      </w:r>
      <w:r>
        <w:rPr>
          <w:rFonts w:ascii="Calibri-Bold" w:hAnsi="Calibri-Bold" w:cs="Calibri-Bold"/>
          <w:bCs/>
          <w:sz w:val="24"/>
          <w:szCs w:val="24"/>
        </w:rPr>
        <w:t xml:space="preserve">commitment </w:t>
      </w:r>
      <w:r w:rsidR="00745ECD" w:rsidRPr="00B54417">
        <w:rPr>
          <w:rFonts w:ascii="Calibri-Bold" w:hAnsi="Calibri-Bold" w:cs="Calibri-Bold"/>
          <w:bCs/>
          <w:sz w:val="24"/>
          <w:szCs w:val="24"/>
        </w:rPr>
        <w:t xml:space="preserve">outside of the sessions themselves. </w:t>
      </w:r>
    </w:p>
    <w:p w:rsidR="00745ECD" w:rsidRPr="00B54417" w:rsidRDefault="00745ECD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24"/>
          <w:szCs w:val="24"/>
        </w:rPr>
      </w:pPr>
    </w:p>
    <w:p w:rsidR="00C352A2" w:rsidRPr="00DC3638" w:rsidRDefault="00DC3638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B0F0"/>
          <w:sz w:val="24"/>
          <w:szCs w:val="24"/>
        </w:rPr>
      </w:pPr>
      <w:r w:rsidRPr="00DC3638">
        <w:rPr>
          <w:rFonts w:ascii="Calibri-Bold" w:hAnsi="Calibri-Bold" w:cs="Calibri-Bold"/>
          <w:b/>
          <w:bCs/>
          <w:color w:val="00B0F0"/>
          <w:sz w:val="24"/>
          <w:szCs w:val="24"/>
        </w:rPr>
        <w:t>Risk</w:t>
      </w:r>
    </w:p>
    <w:p w:rsidR="00A67E93" w:rsidRDefault="00DC3638" w:rsidP="00724612">
      <w:pPr>
        <w:spacing w:line="36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DC3638">
        <w:rPr>
          <w:rFonts w:ascii="Calibri-Bold" w:hAnsi="Calibri-Bold" w:cs="Calibri-Bold"/>
          <w:b/>
          <w:bCs/>
          <w:sz w:val="24"/>
          <w:szCs w:val="24"/>
          <w:highlight w:val="yellow"/>
        </w:rPr>
        <w:t>INSERT</w:t>
      </w:r>
    </w:p>
    <w:p w:rsidR="00DC3638" w:rsidRDefault="00DC3638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br w:type="page"/>
      </w:r>
    </w:p>
    <w:p w:rsidR="00B54417" w:rsidRPr="00286C8B" w:rsidRDefault="00F61DD5" w:rsidP="00724612">
      <w:pPr>
        <w:spacing w:line="36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T</w:t>
      </w:r>
      <w:r w:rsidR="00B54417">
        <w:rPr>
          <w:rFonts w:ascii="Calibri-Bold" w:hAnsi="Calibri-Bold" w:cs="Calibri-Bold"/>
          <w:b/>
          <w:bCs/>
          <w:sz w:val="24"/>
          <w:szCs w:val="24"/>
        </w:rPr>
        <w:t>able 1</w:t>
      </w:r>
      <w:r w:rsidR="00B54417" w:rsidRPr="00B86C8B">
        <w:rPr>
          <w:rFonts w:ascii="Calibri-Bold" w:hAnsi="Calibri-Bold" w:cs="Calibri-Bold"/>
          <w:b/>
          <w:bCs/>
          <w:sz w:val="24"/>
          <w:szCs w:val="24"/>
        </w:rPr>
        <w:t xml:space="preserve"> – Conditions</w:t>
      </w:r>
      <w:r w:rsidR="00B54417">
        <w:rPr>
          <w:rFonts w:ascii="Calibri-Bold" w:hAnsi="Calibri-Bold" w:cs="Calibri-Bold"/>
          <w:b/>
          <w:bCs/>
          <w:sz w:val="24"/>
          <w:szCs w:val="24"/>
        </w:rPr>
        <w:t xml:space="preserve">: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592"/>
        <w:gridCol w:w="3322"/>
        <w:gridCol w:w="3092"/>
      </w:tblGrid>
      <w:tr w:rsidR="00B54417" w:rsidTr="00ED7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Cs w:val="0"/>
                <w:sz w:val="28"/>
                <w:szCs w:val="28"/>
              </w:rPr>
            </w:pPr>
            <w:r w:rsidRPr="00B86C8B">
              <w:rPr>
                <w:rFonts w:ascii="Calibri-Bold" w:hAnsi="Calibri-Bold" w:cs="Calibri-Bold"/>
                <w:bCs w:val="0"/>
                <w:sz w:val="28"/>
                <w:szCs w:val="28"/>
              </w:rPr>
              <w:t>Yes</w:t>
            </w:r>
          </w:p>
        </w:tc>
        <w:tc>
          <w:tcPr>
            <w:tcW w:w="3544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Cs w:val="0"/>
                <w:sz w:val="28"/>
                <w:szCs w:val="28"/>
              </w:rPr>
            </w:pPr>
            <w:r w:rsidRPr="00B86C8B">
              <w:rPr>
                <w:rFonts w:ascii="Calibri-Bold" w:hAnsi="Calibri-Bold" w:cs="Calibri-Bold"/>
                <w:bCs w:val="0"/>
                <w:sz w:val="28"/>
                <w:szCs w:val="28"/>
              </w:rPr>
              <w:t>Maybe</w:t>
            </w:r>
          </w:p>
        </w:tc>
        <w:tc>
          <w:tcPr>
            <w:tcW w:w="3685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Cs w:val="0"/>
                <w:sz w:val="28"/>
                <w:szCs w:val="28"/>
              </w:rPr>
            </w:pPr>
            <w:r w:rsidRPr="00B86C8B">
              <w:rPr>
                <w:rFonts w:ascii="Calibri-Bold" w:hAnsi="Calibri-Bold" w:cs="Calibri-Bold"/>
                <w:bCs w:val="0"/>
                <w:sz w:val="28"/>
                <w:szCs w:val="28"/>
              </w:rPr>
              <w:t>No</w:t>
            </w:r>
          </w:p>
        </w:tc>
      </w:tr>
      <w:tr w:rsidR="00B54417" w:rsidTr="00ED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Common mental health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difficulties that may respond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to early intervention / low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intensity approaches</w:t>
            </w:r>
          </w:p>
        </w:tc>
        <w:tc>
          <w:tcPr>
            <w:tcW w:w="3544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Common mental health</w:t>
            </w:r>
          </w:p>
          <w:p w:rsidR="00B54417" w:rsidRPr="003D29FF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difficulties that may respond to early intervention / low intensity approaches, however consideration required concerning the severity and </w:t>
            </w:r>
            <w:r w:rsidRPr="00B86C8B">
              <w:rPr>
                <w:rFonts w:cs="Calibri"/>
                <w:sz w:val="24"/>
                <w:szCs w:val="24"/>
              </w:rPr>
              <w:t>impact of the pres</w:t>
            </w:r>
            <w:r>
              <w:rPr>
                <w:rFonts w:cs="Calibri"/>
                <w:sz w:val="24"/>
                <w:szCs w:val="24"/>
              </w:rPr>
              <w:t xml:space="preserve">enting difficulties to determine </w:t>
            </w:r>
            <w:r w:rsidRPr="00B86C8B">
              <w:rPr>
                <w:rFonts w:cs="Calibri"/>
                <w:sz w:val="24"/>
                <w:szCs w:val="24"/>
              </w:rPr>
              <w:t>suitability</w:t>
            </w:r>
          </w:p>
        </w:tc>
        <w:tc>
          <w:tcPr>
            <w:tcW w:w="3685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Significant levels of need</w:t>
            </w:r>
          </w:p>
          <w:p w:rsidR="00B54417" w:rsidRPr="003D29FF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/complex conditions which are not suitable for brief early intervention / low intensity </w:t>
            </w:r>
            <w:r w:rsidRPr="00B86C8B">
              <w:rPr>
                <w:rFonts w:cs="Calibri"/>
                <w:sz w:val="24"/>
                <w:szCs w:val="24"/>
              </w:rPr>
              <w:t>approaches</w:t>
            </w:r>
          </w:p>
        </w:tc>
      </w:tr>
      <w:tr w:rsidR="00B54417" w:rsidTr="00ED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Low Mood / Mild to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Moderately Severe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Depression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Panic Disorder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Panic Disorder &amp;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Agoraphobia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Generalised Anxiety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Disorder / Worry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Simple Phobia (but not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blood, needle, vomit)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Sleep problems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Stress management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  <w:r w:rsidRPr="00B86C8B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>Behavioural Difficulties</w:t>
            </w:r>
          </w:p>
        </w:tc>
        <w:tc>
          <w:tcPr>
            <w:tcW w:w="3544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Anger difficulties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Low self-esteem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Mild social anxiety disorder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Some compulsive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behaviours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Mild health anxiety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Assertiveness/interpersonal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challenges (e.g., with peers)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Self-harm is disclosed but is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assessed as linked to low mood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but is not assessed as enduring and high risk in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nature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-Bold"/>
                <w:b/>
                <w:bCs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OCD</w:t>
            </w:r>
          </w:p>
        </w:tc>
        <w:tc>
          <w:tcPr>
            <w:tcW w:w="3685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Pain management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PTSD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Bipolar Disorder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Psychosis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Personality Disorders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Eating Disorders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Chronic depression/anxiety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Established health anxiety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Historical or current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experiences of abuse or violence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Complex interpersonal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challenges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Bereavement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Active, enduring and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significant self-harm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-Bold"/>
                <w:b/>
                <w:bCs/>
                <w:sz w:val="24"/>
                <w:szCs w:val="24"/>
              </w:rPr>
            </w:pPr>
            <w:r w:rsidRPr="00B86C8B">
              <w:rPr>
                <w:rFonts w:cs="Symbol"/>
                <w:sz w:val="24"/>
                <w:szCs w:val="24"/>
              </w:rPr>
              <w:t xml:space="preserve">• </w:t>
            </w:r>
            <w:r w:rsidRPr="00B86C8B">
              <w:rPr>
                <w:rFonts w:cs="Calibri"/>
                <w:sz w:val="24"/>
                <w:szCs w:val="24"/>
              </w:rPr>
              <w:t>Relationship problems</w:t>
            </w:r>
          </w:p>
        </w:tc>
      </w:tr>
    </w:tbl>
    <w:p w:rsidR="00A67E93" w:rsidRDefault="00A67E93" w:rsidP="00724612">
      <w:pPr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54417" w:rsidRDefault="00B54417" w:rsidP="00724612">
      <w:pPr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sz w:val="24"/>
          <w:szCs w:val="24"/>
        </w:rPr>
        <w:t>Table 2</w:t>
      </w:r>
      <w:r w:rsidRPr="00B6778D">
        <w:rPr>
          <w:rFonts w:ascii="Calibri-Bold" w:hAnsi="Calibri-Bold" w:cs="Calibri-Bold"/>
          <w:b/>
          <w:bCs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sz w:val="24"/>
          <w:szCs w:val="24"/>
        </w:rPr>
        <w:t>The C</w:t>
      </w:r>
      <w:r w:rsidRPr="00B6778D">
        <w:rPr>
          <w:rFonts w:ascii="Calibri-Bold" w:hAnsi="Calibri-Bold" w:cs="Calibri-Bold"/>
          <w:b/>
          <w:bCs/>
          <w:sz w:val="24"/>
          <w:szCs w:val="24"/>
        </w:rPr>
        <w:t>WP</w:t>
      </w:r>
      <w:r>
        <w:rPr>
          <w:rFonts w:ascii="Calibri-Bold" w:hAnsi="Calibri-Bold" w:cs="Calibri-Bold"/>
          <w:b/>
          <w:bCs/>
          <w:sz w:val="24"/>
          <w:szCs w:val="24"/>
        </w:rPr>
        <w:t>-</w:t>
      </w:r>
      <w:r w:rsidRPr="00B6778D">
        <w:rPr>
          <w:rFonts w:ascii="Calibri-Bold" w:hAnsi="Calibri-Bold" w:cs="Calibri-Bold"/>
          <w:b/>
          <w:bCs/>
          <w:sz w:val="24"/>
          <w:szCs w:val="24"/>
        </w:rPr>
        <w:t>CYP role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501"/>
        <w:gridCol w:w="4505"/>
      </w:tblGrid>
      <w:tr w:rsidR="00B54417" w:rsidTr="00ED7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sz w:val="28"/>
                <w:szCs w:val="28"/>
              </w:rPr>
            </w:pPr>
            <w:r w:rsidRPr="00B86C8B">
              <w:rPr>
                <w:rFonts w:asciiTheme="minorHAnsi" w:hAnsiTheme="minorHAnsi" w:cs="Calibri-Bold"/>
                <w:sz w:val="28"/>
                <w:szCs w:val="28"/>
              </w:rPr>
              <w:t>WPCYPs should: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-Bold"/>
                <w:b w:val="0"/>
                <w:bCs w:val="0"/>
                <w:sz w:val="28"/>
                <w:szCs w:val="28"/>
              </w:rPr>
            </w:pPr>
            <w:r w:rsidRPr="00B86C8B">
              <w:rPr>
                <w:rFonts w:asciiTheme="minorHAnsi" w:hAnsiTheme="minorHAnsi" w:cs="Calibri-Bold"/>
                <w:sz w:val="28"/>
                <w:szCs w:val="28"/>
              </w:rPr>
              <w:t>WPCYPs should not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B54417" w:rsidTr="00ED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sz w:val="24"/>
                <w:szCs w:val="24"/>
              </w:rPr>
            </w:pP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-Bold"/>
                <w:b w:val="0"/>
                <w:sz w:val="24"/>
                <w:szCs w:val="24"/>
              </w:rPr>
              <w:t>Assess and suppo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 xml:space="preserve">rt people with mild to moderate </w:t>
            </w:r>
            <w:r w:rsidRPr="00B86C8B">
              <w:rPr>
                <w:rFonts w:asciiTheme="minorHAnsi" w:hAnsiTheme="minorHAnsi" w:cs="Calibri-Bold"/>
                <w:b w:val="0"/>
                <w:sz w:val="24"/>
                <w:szCs w:val="24"/>
              </w:rPr>
              <w:t xml:space="preserve">mental health </w:t>
            </w:r>
            <w:r w:rsidRPr="00B86C8B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 xml:space="preserve">problems (anxiety, low mood and </w:t>
            </w:r>
            <w:r w:rsidRPr="00B86C8B">
              <w:rPr>
                <w:rFonts w:asciiTheme="minorHAnsi" w:hAnsiTheme="minorHAnsi" w:cs="Calibri-Bold"/>
                <w:b w:val="0"/>
                <w:sz w:val="24"/>
                <w:szCs w:val="24"/>
              </w:rPr>
              <w:t>behavioural difficulties)</w:t>
            </w:r>
            <w:r>
              <w:rPr>
                <w:rFonts w:asciiTheme="minorHAnsi" w:hAnsiTheme="minorHAnsi" w:cs="Calibri-Bold"/>
                <w:b w:val="0"/>
                <w:sz w:val="24"/>
                <w:szCs w:val="24"/>
              </w:rPr>
              <w:t>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Cs w:val="0"/>
                <w:sz w:val="24"/>
                <w:szCs w:val="24"/>
              </w:rPr>
            </w:pPr>
          </w:p>
        </w:tc>
        <w:tc>
          <w:tcPr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24"/>
                <w:szCs w:val="24"/>
              </w:rPr>
            </w:pP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24"/>
                <w:szCs w:val="24"/>
              </w:rPr>
            </w:pPr>
            <w:r w:rsidRPr="00B86C8B">
              <w:rPr>
                <w:rFonts w:cs="Calibri-Bold"/>
                <w:bCs/>
                <w:sz w:val="24"/>
                <w:szCs w:val="24"/>
              </w:rPr>
              <w:t>Routinely assess and triage children and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24"/>
                <w:szCs w:val="24"/>
              </w:rPr>
            </w:pPr>
            <w:r w:rsidRPr="00B86C8B">
              <w:rPr>
                <w:rFonts w:cs="Calibri-Bold"/>
                <w:bCs/>
                <w:sz w:val="24"/>
                <w:szCs w:val="24"/>
              </w:rPr>
              <w:t>young people with severe, complex or</w:t>
            </w:r>
          </w:p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24"/>
                <w:szCs w:val="24"/>
              </w:rPr>
            </w:pPr>
            <w:r w:rsidRPr="00B86C8B">
              <w:rPr>
                <w:rFonts w:cs="Calibri-Bold"/>
                <w:bCs/>
                <w:sz w:val="24"/>
                <w:szCs w:val="24"/>
              </w:rPr>
              <w:t>enduring mental health problems</w:t>
            </w:r>
            <w:r>
              <w:rPr>
                <w:rFonts w:cs="Calibri-Bold"/>
                <w:bCs/>
                <w:sz w:val="24"/>
                <w:szCs w:val="24"/>
              </w:rPr>
              <w:t xml:space="preserve">, or those </w:t>
            </w:r>
            <w:r w:rsidRPr="00B86C8B">
              <w:rPr>
                <w:rFonts w:cs="Calibri-Bold"/>
                <w:bCs/>
                <w:sz w:val="24"/>
                <w:szCs w:val="24"/>
              </w:rPr>
              <w:t>presenting with complex issues</w:t>
            </w:r>
            <w:r>
              <w:rPr>
                <w:rFonts w:cs="Calibri-Bold"/>
                <w:bCs/>
                <w:sz w:val="24"/>
                <w:szCs w:val="24"/>
              </w:rPr>
              <w:t>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24"/>
                <w:szCs w:val="24"/>
              </w:rPr>
            </w:pPr>
          </w:p>
        </w:tc>
      </w:tr>
      <w:tr w:rsidR="00B54417" w:rsidRPr="00B86C8B" w:rsidTr="00ED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Offer low intensity, focused, </w:t>
            </w:r>
            <w:proofErr w:type="gramStart"/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evidence based</w:t>
            </w:r>
            <w:proofErr w:type="gramEnd"/>
            <w:r w:rsidR="00A67E93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interventions o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utlined in the CWP-CYP curriculum </w:t>
            </w: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and certificate training programme</w:t>
            </w:r>
            <w:r w:rsidRPr="00B86C8B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  <w:p w:rsidR="00A67E93" w:rsidRPr="00B86C8B" w:rsidRDefault="00A67E93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Behavioural activation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Behavioural experiments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Cognitive restructuring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Exposure and habituation / Exposure and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response prevention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Worry management strategies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Social Learning theory based parent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support and parent lead CBT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Behavioural and emotional regulation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strategies (sleeping, toileting, feeding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etc.)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Computer based CBT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Lifestyle management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Relaxation</w:t>
            </w:r>
          </w:p>
          <w:p w:rsidR="00B54417" w:rsidRPr="002F794F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2F794F">
              <w:rPr>
                <w:rFonts w:asciiTheme="minorHAnsi" w:hAnsiTheme="minorHAnsi" w:cs="Symbol"/>
                <w:b w:val="0"/>
                <w:sz w:val="24"/>
                <w:szCs w:val="24"/>
              </w:rPr>
              <w:t xml:space="preserve">• </w:t>
            </w:r>
            <w:r w:rsidRPr="002F794F">
              <w:rPr>
                <w:rFonts w:asciiTheme="minorHAnsi" w:hAnsiTheme="minorHAnsi" w:cs="Calibri"/>
                <w:b w:val="0"/>
                <w:sz w:val="24"/>
                <w:szCs w:val="24"/>
              </w:rPr>
              <w:t>Problem solving</w:t>
            </w:r>
          </w:p>
          <w:p w:rsidR="002F794F" w:rsidRDefault="002F794F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B54417" w:rsidRPr="00B86C8B" w:rsidRDefault="002F794F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Intervention Diagram on final page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  <w:p w:rsidR="00B54417" w:rsidRPr="003D29FF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3D29FF">
              <w:rPr>
                <w:rFonts w:cs="Calibri"/>
                <w:sz w:val="24"/>
                <w:szCs w:val="24"/>
              </w:rPr>
              <w:t>Be involved in complex, or moderate to high need situations or presentations.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Hold cas</w:t>
            </w:r>
            <w:r>
              <w:rPr>
                <w:rFonts w:cs="Calibri"/>
                <w:sz w:val="24"/>
                <w:szCs w:val="24"/>
              </w:rPr>
              <w:t xml:space="preserve">es referred to CAMHS or co work </w:t>
            </w:r>
            <w:r w:rsidRPr="00B86C8B">
              <w:rPr>
                <w:rFonts w:cs="Calibri"/>
                <w:sz w:val="24"/>
                <w:szCs w:val="24"/>
              </w:rPr>
              <w:t>high need cases.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  <w:tr w:rsidR="00B54417" w:rsidTr="00ED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sz w:val="24"/>
                <w:szCs w:val="24"/>
              </w:rPr>
            </w:pPr>
          </w:p>
          <w:p w:rsidR="00B54417" w:rsidRPr="00B6778D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sz w:val="24"/>
                <w:szCs w:val="24"/>
              </w:rPr>
            </w:pPr>
            <w:r w:rsidRPr="00B6778D">
              <w:rPr>
                <w:rFonts w:asciiTheme="minorHAnsi" w:hAnsiTheme="minorHAnsi" w:cs="Calibri-Bold"/>
                <w:b w:val="0"/>
                <w:sz w:val="24"/>
                <w:szCs w:val="24"/>
              </w:rPr>
              <w:t>Signpost people</w:t>
            </w:r>
            <w:r w:rsidRPr="00B6778D"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  <w:t xml:space="preserve"> and facilitate access to other </w:t>
            </w:r>
            <w:r w:rsidRPr="00B6778D">
              <w:rPr>
                <w:rFonts w:asciiTheme="minorHAnsi" w:hAnsiTheme="minorHAnsi" w:cs="Calibri-Bold"/>
                <w:b w:val="0"/>
                <w:sz w:val="24"/>
                <w:szCs w:val="24"/>
              </w:rPr>
              <w:t>services when appropriate</w:t>
            </w:r>
            <w:r>
              <w:rPr>
                <w:rFonts w:asciiTheme="minorHAnsi" w:hAnsiTheme="minorHAnsi" w:cs="Calibri-Bold"/>
                <w:b w:val="0"/>
                <w:sz w:val="24"/>
                <w:szCs w:val="24"/>
              </w:rPr>
              <w:t>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Cs w:val="0"/>
                <w:sz w:val="24"/>
                <w:szCs w:val="24"/>
              </w:rPr>
            </w:pPr>
          </w:p>
        </w:tc>
        <w:tc>
          <w:tcPr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24"/>
                <w:szCs w:val="24"/>
              </w:rPr>
            </w:pPr>
          </w:p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24"/>
                <w:szCs w:val="24"/>
              </w:rPr>
            </w:pPr>
            <w:r w:rsidRPr="00B86C8B">
              <w:rPr>
                <w:rFonts w:cs="Calibri-Bold"/>
                <w:bCs/>
                <w:sz w:val="24"/>
                <w:szCs w:val="24"/>
              </w:rPr>
              <w:t>Support</w:t>
            </w:r>
            <w:r>
              <w:rPr>
                <w:rFonts w:cs="Calibri-Bold"/>
                <w:bCs/>
                <w:sz w:val="24"/>
                <w:szCs w:val="24"/>
              </w:rPr>
              <w:t xml:space="preserve"> children and young people with </w:t>
            </w:r>
            <w:r w:rsidRPr="00B86C8B">
              <w:rPr>
                <w:rFonts w:cs="Calibri-Bold"/>
                <w:bCs/>
                <w:sz w:val="24"/>
                <w:szCs w:val="24"/>
              </w:rPr>
              <w:t xml:space="preserve">high levels </w:t>
            </w:r>
            <w:r>
              <w:rPr>
                <w:rFonts w:cs="Calibri-Bold"/>
                <w:bCs/>
                <w:sz w:val="24"/>
                <w:szCs w:val="24"/>
              </w:rPr>
              <w:t xml:space="preserve">of risk or needing a specialist </w:t>
            </w:r>
            <w:r w:rsidRPr="00B86C8B">
              <w:rPr>
                <w:rFonts w:cs="Calibri-Bold"/>
                <w:bCs/>
                <w:sz w:val="24"/>
                <w:szCs w:val="24"/>
              </w:rPr>
              <w:t>level of care or intervention</w:t>
            </w:r>
            <w:r>
              <w:rPr>
                <w:rFonts w:cs="Calibri-Bold"/>
                <w:bCs/>
                <w:sz w:val="24"/>
                <w:szCs w:val="24"/>
              </w:rPr>
              <w:t>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24"/>
                <w:szCs w:val="24"/>
              </w:rPr>
            </w:pPr>
          </w:p>
        </w:tc>
      </w:tr>
      <w:tr w:rsidR="00B54417" w:rsidTr="00ED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Work through a variety of media such as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telephone, int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ernet and face-to-face and in a </w:t>
            </w: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range of settings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close to where families live – </w:t>
            </w: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such as school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s, health centres, community or </w:t>
            </w: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Youth venues or children’s centres.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-Bold"/>
                <w:b/>
                <w:bCs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Work in isolation or in ‘clinic’ style settings</w:t>
            </w:r>
            <w:r w:rsidR="00A67E9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54417" w:rsidTr="00ED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Review children and young peoples’ progress and record outcomes achieved and adhere to and collect the WPCYP minimum data set requirements for a minimum of 90% of cases.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21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Close cases until all recording including monitoring of outcomes is completed.</w:t>
            </w:r>
          </w:p>
        </w:tc>
      </w:tr>
      <w:tr w:rsidR="00B54417" w:rsidTr="00ED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54417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Be able to access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specialist input quickly where </w:t>
            </w: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complexity, risk or safeguarding factors emerge.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Recei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ve weekly WPCYP case management </w:t>
            </w: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supervision 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and fortnightly clinical skills </w:t>
            </w:r>
            <w:r w:rsidRPr="00B86C8B">
              <w:rPr>
                <w:rFonts w:asciiTheme="minorHAnsi" w:hAnsiTheme="minorHAnsi" w:cs="Calibri"/>
                <w:b w:val="0"/>
                <w:sz w:val="24"/>
                <w:szCs w:val="24"/>
              </w:rPr>
              <w:t>supervision.</w:t>
            </w:r>
          </w:p>
        </w:tc>
        <w:tc>
          <w:tcPr>
            <w:tcW w:w="4621" w:type="dxa"/>
          </w:tcPr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Operate without appropriate supervision /</w:t>
            </w:r>
          </w:p>
          <w:p w:rsidR="00B54417" w:rsidRPr="00B86C8B" w:rsidRDefault="00B54417" w:rsidP="0072461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-Bold"/>
                <w:b/>
                <w:bCs/>
                <w:sz w:val="24"/>
                <w:szCs w:val="24"/>
              </w:rPr>
            </w:pPr>
            <w:r w:rsidRPr="00B86C8B">
              <w:rPr>
                <w:rFonts w:cs="Calibri"/>
                <w:sz w:val="24"/>
                <w:szCs w:val="24"/>
              </w:rPr>
              <w:t>acce</w:t>
            </w:r>
            <w:r w:rsidR="00745ECD">
              <w:rPr>
                <w:rFonts w:cs="Calibri"/>
                <w:sz w:val="24"/>
                <w:szCs w:val="24"/>
              </w:rPr>
              <w:t>s</w:t>
            </w:r>
            <w:r w:rsidRPr="00B86C8B">
              <w:rPr>
                <w:rFonts w:cs="Calibri"/>
                <w:sz w:val="24"/>
                <w:szCs w:val="24"/>
              </w:rPr>
              <w:t>s to specialist support when needed.</w:t>
            </w:r>
          </w:p>
        </w:tc>
      </w:tr>
    </w:tbl>
    <w:p w:rsidR="005F3E65" w:rsidRDefault="005F3E65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99CC"/>
          <w:sz w:val="32"/>
          <w:szCs w:val="32"/>
        </w:rPr>
      </w:pPr>
    </w:p>
    <w:p w:rsidR="005F3E65" w:rsidRDefault="005F3E65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99CC"/>
          <w:sz w:val="32"/>
          <w:szCs w:val="32"/>
        </w:rPr>
      </w:pPr>
    </w:p>
    <w:p w:rsidR="00206532" w:rsidRPr="00206532" w:rsidRDefault="00A00026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99CC"/>
          <w:sz w:val="32"/>
          <w:szCs w:val="32"/>
        </w:rPr>
      </w:pPr>
      <w:r w:rsidRPr="00206532">
        <w:rPr>
          <w:rFonts w:ascii="Calibri" w:hAnsi="Calibri" w:cs="Calibri"/>
          <w:b/>
          <w:color w:val="0099CC"/>
          <w:sz w:val="32"/>
          <w:szCs w:val="32"/>
        </w:rPr>
        <w:t>The Interventions</w:t>
      </w:r>
      <w:r w:rsidR="00206532" w:rsidRPr="00206532">
        <w:rPr>
          <w:rFonts w:ascii="Calibri" w:hAnsi="Calibri" w:cs="Calibri"/>
          <w:b/>
          <w:color w:val="0099CC"/>
          <w:sz w:val="32"/>
          <w:szCs w:val="32"/>
        </w:rPr>
        <w:t xml:space="preserve"> and the Symptoms they hope to </w:t>
      </w:r>
      <w:r w:rsidR="00C352A2" w:rsidRPr="00206532">
        <w:rPr>
          <w:rFonts w:ascii="Calibri" w:hAnsi="Calibri" w:cs="Calibri"/>
          <w:b/>
          <w:color w:val="0099CC"/>
          <w:sz w:val="32"/>
          <w:szCs w:val="32"/>
        </w:rPr>
        <w:t>improve</w:t>
      </w:r>
      <w:r w:rsidR="00E74CAC" w:rsidRPr="00206532">
        <w:rPr>
          <w:rFonts w:ascii="Calibri" w:hAnsi="Calibri" w:cs="Calibri"/>
          <w:b/>
          <w:color w:val="0099CC"/>
          <w:sz w:val="32"/>
          <w:szCs w:val="32"/>
        </w:rPr>
        <w:t>:</w:t>
      </w:r>
    </w:p>
    <w:p w:rsidR="00206532" w:rsidRDefault="00206532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99CC"/>
          <w:sz w:val="36"/>
          <w:szCs w:val="36"/>
        </w:rPr>
      </w:pPr>
    </w:p>
    <w:p w:rsidR="00AD5049" w:rsidRDefault="00AD5049" w:rsidP="0072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6532"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inline distT="0" distB="0" distL="0" distR="0" wp14:anchorId="733A1179" wp14:editId="15BD34CA">
            <wp:extent cx="5969083" cy="3261815"/>
            <wp:effectExtent l="19050" t="0" r="12700" b="9296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ti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97" cy="32631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AD5049" w:rsidSect="00B54417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79F" w:rsidRDefault="0057379F" w:rsidP="00206532">
      <w:pPr>
        <w:spacing w:after="0" w:line="240" w:lineRule="auto"/>
      </w:pPr>
      <w:r>
        <w:separator/>
      </w:r>
    </w:p>
  </w:endnote>
  <w:endnote w:type="continuationSeparator" w:id="0">
    <w:p w:rsidR="0057379F" w:rsidRDefault="0057379F" w:rsidP="0020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82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532" w:rsidRDefault="00206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532" w:rsidRDefault="00206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79F" w:rsidRDefault="0057379F" w:rsidP="00206532">
      <w:pPr>
        <w:spacing w:after="0" w:line="240" w:lineRule="auto"/>
      </w:pPr>
      <w:r>
        <w:separator/>
      </w:r>
    </w:p>
  </w:footnote>
  <w:footnote w:type="continuationSeparator" w:id="0">
    <w:p w:rsidR="0057379F" w:rsidRDefault="0057379F" w:rsidP="0020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252D"/>
    <w:multiLevelType w:val="hybridMultilevel"/>
    <w:tmpl w:val="F07A2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045A2"/>
    <w:multiLevelType w:val="hybridMultilevel"/>
    <w:tmpl w:val="CBCE56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17"/>
    <w:rsid w:val="00206532"/>
    <w:rsid w:val="002F1F0A"/>
    <w:rsid w:val="002F794F"/>
    <w:rsid w:val="003B63E3"/>
    <w:rsid w:val="003D55FE"/>
    <w:rsid w:val="00433F8A"/>
    <w:rsid w:val="0057379F"/>
    <w:rsid w:val="0059329C"/>
    <w:rsid w:val="005F3E65"/>
    <w:rsid w:val="006E2A87"/>
    <w:rsid w:val="00704461"/>
    <w:rsid w:val="00724612"/>
    <w:rsid w:val="00745ECD"/>
    <w:rsid w:val="00912C92"/>
    <w:rsid w:val="00A00026"/>
    <w:rsid w:val="00A67E93"/>
    <w:rsid w:val="00A92FC5"/>
    <w:rsid w:val="00AD5049"/>
    <w:rsid w:val="00B54417"/>
    <w:rsid w:val="00B63748"/>
    <w:rsid w:val="00B822CE"/>
    <w:rsid w:val="00C352A2"/>
    <w:rsid w:val="00D67C12"/>
    <w:rsid w:val="00DC3638"/>
    <w:rsid w:val="00E267A1"/>
    <w:rsid w:val="00E74CAC"/>
    <w:rsid w:val="00F6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BFFCC-67DB-4FF3-86F0-24C8F17A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17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B544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44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32"/>
  </w:style>
  <w:style w:type="paragraph" w:styleId="Footer">
    <w:name w:val="footer"/>
    <w:basedOn w:val="Normal"/>
    <w:link w:val="FooterChar"/>
    <w:uiPriority w:val="99"/>
    <w:unhideWhenUsed/>
    <w:rsid w:val="0020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32"/>
  </w:style>
  <w:style w:type="character" w:styleId="UnresolvedMention">
    <w:name w:val="Unresolved Mention"/>
    <w:basedOn w:val="DefaultParagraphFont"/>
    <w:uiPriority w:val="99"/>
    <w:semiHidden/>
    <w:unhideWhenUsed/>
    <w:rsid w:val="00C352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hd.mhstadmi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Messenger-Roberts Wayne (Alliance)</dc:creator>
  <cp:lastModifiedBy>Jamie Clifford</cp:lastModifiedBy>
  <cp:revision>2</cp:revision>
  <dcterms:created xsi:type="dcterms:W3CDTF">2021-06-25T09:47:00Z</dcterms:created>
  <dcterms:modified xsi:type="dcterms:W3CDTF">2021-06-25T09:47:00Z</dcterms:modified>
</cp:coreProperties>
</file>